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6B9A5" w14:textId="77777777" w:rsidR="006E6985" w:rsidRPr="006E6985" w:rsidRDefault="006E6985" w:rsidP="006E6985">
      <w:pPr>
        <w:rPr>
          <w:lang w:val="fr-FR"/>
        </w:rPr>
      </w:pPr>
      <w:r w:rsidRPr="006E6985">
        <w:rPr>
          <w:lang w:val="fr-FR"/>
        </w:rPr>
        <w:t>Finance d’entreprise</w:t>
      </w:r>
    </w:p>
    <w:p w14:paraId="461CC0EA" w14:textId="77777777" w:rsidR="006E6985" w:rsidRPr="006E6985" w:rsidRDefault="006E6985" w:rsidP="006E6985">
      <w:pPr>
        <w:rPr>
          <w:b/>
          <w:bCs/>
          <w:color w:val="4C94D8" w:themeColor="text2" w:themeTint="80"/>
          <w:lang w:val="fr-FR"/>
        </w:rPr>
      </w:pPr>
      <w:r w:rsidRPr="006E6985">
        <w:rPr>
          <w:b/>
          <w:bCs/>
          <w:color w:val="4C94D8" w:themeColor="text2" w:themeTint="80"/>
          <w:lang w:val="fr-FR"/>
        </w:rPr>
        <w:t>Perigeum Capital marque ses dix années d’activité</w:t>
      </w:r>
    </w:p>
    <w:p w14:paraId="58219FE8" w14:textId="77777777" w:rsidR="006E6985" w:rsidRPr="006E6985" w:rsidRDefault="006E6985" w:rsidP="006E6985">
      <w:pPr>
        <w:jc w:val="both"/>
        <w:rPr>
          <w:lang w:val="fr-FR"/>
        </w:rPr>
      </w:pPr>
      <w:proofErr w:type="spellStart"/>
      <w:r w:rsidRPr="006E6985">
        <w:rPr>
          <w:lang w:val="fr-FR"/>
        </w:rPr>
        <w:t>Bizweek</w:t>
      </w:r>
      <w:proofErr w:type="spellEnd"/>
      <w:r w:rsidRPr="006E6985">
        <w:rPr>
          <w:lang w:val="fr-FR"/>
        </w:rPr>
        <w:t xml:space="preserve"> – Dimanche 26 juillet 2026 | Numéro 601 | Page 24</w:t>
      </w:r>
    </w:p>
    <w:p w14:paraId="1D006B63" w14:textId="77777777" w:rsidR="006E6985" w:rsidRPr="006E6985" w:rsidRDefault="006E6985" w:rsidP="006E6985">
      <w:pPr>
        <w:jc w:val="both"/>
        <w:rPr>
          <w:lang w:val="fr-FR"/>
        </w:rPr>
      </w:pPr>
      <w:r w:rsidRPr="006E6985">
        <w:rPr>
          <w:lang w:val="fr-FR"/>
        </w:rPr>
        <w:t>Fondée en 2016, Perigeum Capital célèbre cette année ses 10 ans. Depuis sa création, la société, née de la volonté de créer une structure spécialisée en finance d’entreprise capable de conseiller aussi bien des clients mauriciens que des sociétés internationales utilisant Maurice comme plateforme d’investissement, accompagne les entreprises, les investisseurs et les dirigeants dans la préparation et la réalisation de leurs opérations financières et stratégiques.</w:t>
      </w:r>
    </w:p>
    <w:p w14:paraId="34248238" w14:textId="77777777" w:rsidR="006E6985" w:rsidRPr="006E6985" w:rsidRDefault="006E6985" w:rsidP="006E6985">
      <w:pPr>
        <w:jc w:val="both"/>
        <w:rPr>
          <w:lang w:val="fr-FR"/>
        </w:rPr>
      </w:pPr>
      <w:r w:rsidRPr="006E6985">
        <w:rPr>
          <w:lang w:val="fr-FR"/>
        </w:rPr>
        <w:t xml:space="preserve">Pour Perigeum Capital, 2016-2026 a été une décennie marquée par la diversification de ses services et le développement de sa présence à Maurice et à l’international. Créée en 2016, la société de conseil en finance d’entreprise doit son nom au terme anglais « </w:t>
      </w:r>
      <w:proofErr w:type="spellStart"/>
      <w:r w:rsidRPr="006E6985">
        <w:rPr>
          <w:lang w:val="fr-FR"/>
        </w:rPr>
        <w:t>perigee</w:t>
      </w:r>
      <w:proofErr w:type="spellEnd"/>
      <w:r w:rsidRPr="006E6985">
        <w:rPr>
          <w:lang w:val="fr-FR"/>
        </w:rPr>
        <w:t xml:space="preserve"> », qui désigne le point de l’orbite lunaire le plus proche de la Terre. Un choix qui traduit la philosophie qui l’anime depuis ses débuts : rester proche de ses clients afin de mieux comprendre leurs ambitions et les accompagner dans leur réalisation.</w:t>
      </w:r>
    </w:p>
    <w:p w14:paraId="77A45C3B" w14:textId="77777777" w:rsidR="006E6985" w:rsidRPr="006E6985" w:rsidRDefault="006E6985" w:rsidP="006E6985">
      <w:pPr>
        <w:jc w:val="both"/>
        <w:rPr>
          <w:lang w:val="fr-FR"/>
        </w:rPr>
      </w:pPr>
      <w:r w:rsidRPr="006E6985">
        <w:rPr>
          <w:lang w:val="fr-FR"/>
        </w:rPr>
        <w:t>À son lancement, Perigeum Capital intervenait principalement dans le conseil en introduction en bourse, la levée de capitaux, les fusions-acquisitions, la valorisation d’entreprises, la structuration financière et les audits d’acquisition. Au fil des années, cette offre s’est élargie et s’est structurée autour de trois pôles : le conseil en finance d’entreprise, les fusions-acquisitions et les solutions de cotation et marchés de capitaux.</w:t>
      </w:r>
    </w:p>
    <w:p w14:paraId="777344FB" w14:textId="77777777" w:rsidR="006E6985" w:rsidRPr="006E6985" w:rsidRDefault="006E6985" w:rsidP="006E6985">
      <w:pPr>
        <w:jc w:val="both"/>
        <w:rPr>
          <w:lang w:val="fr-FR"/>
        </w:rPr>
      </w:pPr>
      <w:r w:rsidRPr="006E6985">
        <w:rPr>
          <w:lang w:val="fr-FR"/>
        </w:rPr>
        <w:t xml:space="preserve">Le premier pôle – </w:t>
      </w:r>
      <w:proofErr w:type="spellStart"/>
      <w:r w:rsidRPr="006E6985">
        <w:rPr>
          <w:lang w:val="fr-FR"/>
        </w:rPr>
        <w:t>Corporate</w:t>
      </w:r>
      <w:proofErr w:type="spellEnd"/>
      <w:r w:rsidRPr="006E6985">
        <w:rPr>
          <w:lang w:val="fr-FR"/>
        </w:rPr>
        <w:t xml:space="preserve"> Finance &amp; Advisory – couvre notamment la valorisation d’entreprises, les levées de capitaux, la modélisation financière, la structuration d’entreprise, la valorisation, l’élaboration de plans d’affaires, les audits financiers et la préparation de rapports adaptés aux besoins des clients.</w:t>
      </w:r>
    </w:p>
    <w:p w14:paraId="1C2A53A3" w14:textId="77777777" w:rsidR="006E6985" w:rsidRPr="006E6985" w:rsidRDefault="006E6985" w:rsidP="006E6985">
      <w:pPr>
        <w:jc w:val="both"/>
        <w:rPr>
          <w:lang w:val="fr-FR"/>
        </w:rPr>
      </w:pPr>
      <w:r w:rsidRPr="006E6985">
        <w:rPr>
          <w:lang w:val="fr-FR"/>
        </w:rPr>
        <w:t>Le deuxième – M&amp;A and Deals – porte sur les opérations de fusion-acquisition, les stratégies de cession et de sortie, ainsi que sur l’accompagnement de transactions spécifiques à Maurice, dans la région et à l’international.</w:t>
      </w:r>
    </w:p>
    <w:p w14:paraId="1ED750D6" w14:textId="77777777" w:rsidR="006E6985" w:rsidRDefault="006E6985" w:rsidP="006E6985">
      <w:pPr>
        <w:jc w:val="both"/>
        <w:rPr>
          <w:lang w:val="fr-FR"/>
        </w:rPr>
      </w:pPr>
      <w:r w:rsidRPr="006E6985">
        <w:rPr>
          <w:lang w:val="fr-FR"/>
        </w:rPr>
        <w:t xml:space="preserve">Enfin, le pôle Listing &amp; Capital </w:t>
      </w:r>
      <w:proofErr w:type="spellStart"/>
      <w:r w:rsidRPr="006E6985">
        <w:rPr>
          <w:lang w:val="fr-FR"/>
        </w:rPr>
        <w:t>Markets</w:t>
      </w:r>
      <w:proofErr w:type="spellEnd"/>
      <w:r w:rsidRPr="006E6985">
        <w:rPr>
          <w:lang w:val="fr-FR"/>
        </w:rPr>
        <w:t xml:space="preserve"> accompagne les sociétés dans leurs projets d’introduction en bourse et leur cotation à la Stock Exchange of Mauritius. La compagnie intervient en qualité de Listing Sponsor et les conseille également dans le respect de leurs obligations après leur introduction en bourse, ainsi que dans la réalisation de leurs opérations sur titres.</w:t>
      </w:r>
    </w:p>
    <w:p w14:paraId="004D0653" w14:textId="77777777" w:rsidR="006E6985" w:rsidRPr="006E6985" w:rsidRDefault="006E6985" w:rsidP="006E6985">
      <w:pPr>
        <w:jc w:val="both"/>
        <w:rPr>
          <w:lang w:val="fr-FR"/>
        </w:rPr>
      </w:pPr>
    </w:p>
    <w:p w14:paraId="4544D332" w14:textId="77777777" w:rsidR="006E6985" w:rsidRPr="006E6985" w:rsidRDefault="006E6985" w:rsidP="006E6985">
      <w:pPr>
        <w:jc w:val="both"/>
        <w:rPr>
          <w:b/>
          <w:bCs/>
          <w:lang w:val="fr-FR"/>
        </w:rPr>
      </w:pPr>
      <w:r w:rsidRPr="006E6985">
        <w:rPr>
          <w:b/>
          <w:bCs/>
          <w:lang w:val="fr-FR"/>
        </w:rPr>
        <w:lastRenderedPageBreak/>
        <w:t>UNE CLIENTÈLE LOCALE ET INTERNATIONALE</w:t>
      </w:r>
    </w:p>
    <w:p w14:paraId="7C66FA81" w14:textId="77777777" w:rsidR="006E6985" w:rsidRPr="006E6985" w:rsidRDefault="006E6985" w:rsidP="006E6985">
      <w:pPr>
        <w:jc w:val="both"/>
        <w:rPr>
          <w:lang w:val="fr-FR"/>
        </w:rPr>
      </w:pPr>
      <w:r w:rsidRPr="006E6985">
        <w:rPr>
          <w:lang w:val="fr-FR"/>
        </w:rPr>
        <w:t>Cette organisation permet à Perigeum Capital d’intervenir à différentes étapes du développement d’une entreprise, de la recherche de financement à la réalisation d’une transaction ou à l’accès aux marchés de capitaux.</w:t>
      </w:r>
    </w:p>
    <w:p w14:paraId="15A522CC" w14:textId="77777777" w:rsidR="006E6985" w:rsidRPr="006E6985" w:rsidRDefault="006E6985" w:rsidP="006E6985">
      <w:pPr>
        <w:jc w:val="both"/>
        <w:rPr>
          <w:lang w:val="fr-FR"/>
        </w:rPr>
      </w:pPr>
      <w:r w:rsidRPr="006E6985">
        <w:rPr>
          <w:lang w:val="fr-FR"/>
        </w:rPr>
        <w:t>Au cours de la dernière décennie, Perigeum Capital a progressivement élargi sa clientèle. La société conseille aujourd’hui des entreprises mauriciennes et internationales, parmi lesquelles figurent plusieurs structures opérant dans le secteur du Global Business. Son expertise s’étend notamment aux services financiers et à la FinTech, à l’immobilier, à l’hôtellerie, à la santé, à l’agro-industrie et aux technologies.</w:t>
      </w:r>
    </w:p>
    <w:p w14:paraId="7B34B05E" w14:textId="77777777" w:rsidR="006E6985" w:rsidRPr="006E6985" w:rsidRDefault="006E6985" w:rsidP="006E6985">
      <w:pPr>
        <w:jc w:val="both"/>
        <w:rPr>
          <w:lang w:val="fr-FR"/>
        </w:rPr>
      </w:pPr>
      <w:r w:rsidRPr="006E6985">
        <w:rPr>
          <w:lang w:val="fr-FR"/>
        </w:rPr>
        <w:t xml:space="preserve">Commentant ce dixième anniversaire, Shamin A. Sookia, </w:t>
      </w:r>
      <w:proofErr w:type="spellStart"/>
      <w:r w:rsidRPr="006E6985">
        <w:rPr>
          <w:lang w:val="fr-FR"/>
        </w:rPr>
        <w:t>Managing</w:t>
      </w:r>
      <w:proofErr w:type="spellEnd"/>
      <w:r w:rsidRPr="006E6985">
        <w:rPr>
          <w:lang w:val="fr-FR"/>
        </w:rPr>
        <w:t xml:space="preserve"> </w:t>
      </w:r>
      <w:proofErr w:type="spellStart"/>
      <w:r w:rsidRPr="006E6985">
        <w:rPr>
          <w:lang w:val="fr-FR"/>
        </w:rPr>
        <w:t>Director</w:t>
      </w:r>
      <w:proofErr w:type="spellEnd"/>
      <w:r w:rsidRPr="006E6985">
        <w:rPr>
          <w:lang w:val="fr-FR"/>
        </w:rPr>
        <w:t xml:space="preserve"> de Perigeum Capital, a déclaré que « lorsque nous avons créé Perigeum Capital en 2016, notre ambition était de bâtir une structure spécialisée, dynamique, proactive et proche de ses clients. Au-delà de l’expertise technique, nous voulions comprendre leurs enjeux et les accompagner dans leurs décisions stratégiques ».</w:t>
      </w:r>
    </w:p>
    <w:p w14:paraId="2F5EF232" w14:textId="77777777" w:rsidR="006E6985" w:rsidRPr="006E6985" w:rsidRDefault="006E6985" w:rsidP="006E6985">
      <w:pPr>
        <w:jc w:val="both"/>
        <w:rPr>
          <w:lang w:val="fr-FR"/>
        </w:rPr>
      </w:pPr>
      <w:r w:rsidRPr="006E6985">
        <w:rPr>
          <w:lang w:val="fr-FR"/>
        </w:rPr>
        <w:t>Cette ambition s’est accompagnée d’une adaptation constante aux changements économiques, réglementaires et technologiques auxquels les entreprises sont confrontées.</w:t>
      </w:r>
    </w:p>
    <w:p w14:paraId="687E3F4E" w14:textId="77777777" w:rsidR="006E6985" w:rsidRPr="006E6985" w:rsidRDefault="006E6985" w:rsidP="006E6985">
      <w:pPr>
        <w:jc w:val="both"/>
        <w:rPr>
          <w:lang w:val="fr-FR"/>
        </w:rPr>
      </w:pPr>
      <w:r w:rsidRPr="006E6985">
        <w:rPr>
          <w:lang w:val="fr-FR"/>
        </w:rPr>
        <w:t xml:space="preserve">« Ce cap est aussi l’occasion de remercier nos clients, nos collaborateurs, nos partenaires et toutes les personnes qui ont contribué au développement de Perigeum Capital. Leur confiance nous encourage à poursuivre notre travail avec la même rigueur, tout en continuant à approfondir nos connaissances et à renforcer notre ouverture sur les marchés internationaux », a ajouté le </w:t>
      </w:r>
      <w:proofErr w:type="spellStart"/>
      <w:r w:rsidRPr="006E6985">
        <w:rPr>
          <w:lang w:val="fr-FR"/>
        </w:rPr>
        <w:t>Managing</w:t>
      </w:r>
      <w:proofErr w:type="spellEnd"/>
      <w:r w:rsidRPr="006E6985">
        <w:rPr>
          <w:lang w:val="fr-FR"/>
        </w:rPr>
        <w:t xml:space="preserve"> </w:t>
      </w:r>
      <w:proofErr w:type="spellStart"/>
      <w:r w:rsidRPr="006E6985">
        <w:rPr>
          <w:lang w:val="fr-FR"/>
        </w:rPr>
        <w:t>Director</w:t>
      </w:r>
      <w:proofErr w:type="spellEnd"/>
      <w:r w:rsidRPr="006E6985">
        <w:rPr>
          <w:lang w:val="fr-FR"/>
        </w:rPr>
        <w:t>.</w:t>
      </w:r>
    </w:p>
    <w:p w14:paraId="00D399D6" w14:textId="4E4F76B1" w:rsidR="00611B57" w:rsidRPr="006E6985" w:rsidRDefault="006E6985" w:rsidP="006E6985">
      <w:pPr>
        <w:jc w:val="both"/>
        <w:rPr>
          <w:lang w:val="fr-FR"/>
        </w:rPr>
      </w:pPr>
      <w:r w:rsidRPr="006E6985">
        <w:rPr>
          <w:lang w:val="fr-FR"/>
        </w:rPr>
        <w:t>À l’aube de sa deuxième décennie, Perigeum Capital entend poursuivre le développement de ses activités en finance d’entreprise, marchés de capitaux et fusions-acquisitions. La société souhaite également approfondir son intervention sur les marchés régionaux et internationaux, tout en continuant à accompagner les entreprises dans leurs projets de financement, de restructuration et de croissance.</w:t>
      </w:r>
    </w:p>
    <w:sectPr w:rsidR="00611B57" w:rsidRPr="006E69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985"/>
    <w:rsid w:val="001C4540"/>
    <w:rsid w:val="00611B57"/>
    <w:rsid w:val="006E6985"/>
    <w:rsid w:val="00B84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77023"/>
  <w15:chartTrackingRefBased/>
  <w15:docId w15:val="{02B01C3A-87A5-4E70-896A-96DC47D87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69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69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69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69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69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69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69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69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69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9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69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69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69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69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69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9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9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985"/>
    <w:rPr>
      <w:rFonts w:eastAsiaTheme="majorEastAsia" w:cstheme="majorBidi"/>
      <w:color w:val="272727" w:themeColor="text1" w:themeTint="D8"/>
    </w:rPr>
  </w:style>
  <w:style w:type="paragraph" w:styleId="Title">
    <w:name w:val="Title"/>
    <w:basedOn w:val="Normal"/>
    <w:next w:val="Normal"/>
    <w:link w:val="TitleChar"/>
    <w:uiPriority w:val="10"/>
    <w:qFormat/>
    <w:rsid w:val="006E6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9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69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9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985"/>
    <w:pPr>
      <w:spacing w:before="160"/>
      <w:jc w:val="center"/>
    </w:pPr>
    <w:rPr>
      <w:i/>
      <w:iCs/>
      <w:color w:val="404040" w:themeColor="text1" w:themeTint="BF"/>
    </w:rPr>
  </w:style>
  <w:style w:type="character" w:customStyle="1" w:styleId="QuoteChar">
    <w:name w:val="Quote Char"/>
    <w:basedOn w:val="DefaultParagraphFont"/>
    <w:link w:val="Quote"/>
    <w:uiPriority w:val="29"/>
    <w:rsid w:val="006E6985"/>
    <w:rPr>
      <w:i/>
      <w:iCs/>
      <w:color w:val="404040" w:themeColor="text1" w:themeTint="BF"/>
    </w:rPr>
  </w:style>
  <w:style w:type="paragraph" w:styleId="ListParagraph">
    <w:name w:val="List Paragraph"/>
    <w:basedOn w:val="Normal"/>
    <w:uiPriority w:val="34"/>
    <w:qFormat/>
    <w:rsid w:val="006E6985"/>
    <w:pPr>
      <w:ind w:left="720"/>
      <w:contextualSpacing/>
    </w:pPr>
  </w:style>
  <w:style w:type="character" w:styleId="IntenseEmphasis">
    <w:name w:val="Intense Emphasis"/>
    <w:basedOn w:val="DefaultParagraphFont"/>
    <w:uiPriority w:val="21"/>
    <w:qFormat/>
    <w:rsid w:val="006E6985"/>
    <w:rPr>
      <w:i/>
      <w:iCs/>
      <w:color w:val="0F4761" w:themeColor="accent1" w:themeShade="BF"/>
    </w:rPr>
  </w:style>
  <w:style w:type="paragraph" w:styleId="IntenseQuote">
    <w:name w:val="Intense Quote"/>
    <w:basedOn w:val="Normal"/>
    <w:next w:val="Normal"/>
    <w:link w:val="IntenseQuoteChar"/>
    <w:uiPriority w:val="30"/>
    <w:qFormat/>
    <w:rsid w:val="006E69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6985"/>
    <w:rPr>
      <w:i/>
      <w:iCs/>
      <w:color w:val="0F4761" w:themeColor="accent1" w:themeShade="BF"/>
    </w:rPr>
  </w:style>
  <w:style w:type="character" w:styleId="IntenseReference">
    <w:name w:val="Intense Reference"/>
    <w:basedOn w:val="DefaultParagraphFont"/>
    <w:uiPriority w:val="32"/>
    <w:qFormat/>
    <w:rsid w:val="006E69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3833</Characters>
  <Application>Microsoft Office Word</Application>
  <DocSecurity>0</DocSecurity>
  <Lines>31</Lines>
  <Paragraphs>8</Paragraphs>
  <ScaleCrop>false</ScaleCrop>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Jhundoo</dc:creator>
  <cp:keywords/>
  <dc:description/>
  <cp:lastModifiedBy>Rebecca Jhundoo</cp:lastModifiedBy>
  <cp:revision>1</cp:revision>
  <dcterms:created xsi:type="dcterms:W3CDTF">2026-10-16T11:50:00Z</dcterms:created>
  <dcterms:modified xsi:type="dcterms:W3CDTF">2026-10-16T11:51:00Z</dcterms:modified>
</cp:coreProperties>
</file>